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jc w:val="center"/>
        <w:tblBorders>
          <w:top w:val="nil"/>
          <w:left w:val="nil"/>
          <w:bottom w:val="nil"/>
          <w:right w:val="nil"/>
          <w:insideH w:val="nil"/>
          <w:insideV w:val="nil"/>
        </w:tblBorders>
        <w:tblLayout w:type="fixed"/>
        <w:tblLook w:val="04A0" w:firstRow="1" w:lastRow="0" w:firstColumn="1" w:lastColumn="0" w:noHBand="0" w:noVBand="1"/>
      </w:tblPr>
      <w:tblGrid>
        <w:gridCol w:w="2736"/>
        <w:gridCol w:w="8352"/>
      </w:tblGrid>
      <w:tr w:rsidR="00DF6D4C" w14:paraId="3EA21C9D" w14:textId="77777777" w:rsidTr="00FB4909">
        <w:trPr>
          <w:jc w:val="center"/>
        </w:trPr>
        <w:tc>
          <w:tcPr>
            <w:tcW w:w="2736" w:type="dxa"/>
          </w:tcPr>
          <w:p w14:paraId="1CD7A23B" w14:textId="77777777" w:rsidR="00DF6D4C" w:rsidRDefault="003A6606">
            <w:pPr>
              <w:jc w:val="center"/>
            </w:pPr>
            <w:r>
              <w:rPr>
                <w:noProof/>
              </w:rPr>
              <w:drawing>
                <wp:inline distT="0" distB="0" distL="0" distR="0" wp14:anchorId="425DCF7D" wp14:editId="1B15D493">
                  <wp:extent cx="1460766" cy="12877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470496" cy="1296358"/>
                          </a:xfrm>
                          <a:prstGeom prst="rect">
                            <a:avLst/>
                          </a:prstGeom>
                        </pic:spPr>
                      </pic:pic>
                    </a:graphicData>
                  </a:graphic>
                </wp:inline>
              </w:drawing>
            </w:r>
          </w:p>
        </w:tc>
        <w:tc>
          <w:tcPr>
            <w:tcW w:w="8352" w:type="dxa"/>
          </w:tcPr>
          <w:p w14:paraId="177776D2" w14:textId="77777777" w:rsidR="00DF6D4C" w:rsidRDefault="003A6606">
            <w:r>
              <w:rPr>
                <w:rFonts w:eastAsia="Arial"/>
                <w:b/>
                <w:color w:val="005A43"/>
                <w:sz w:val="50"/>
              </w:rPr>
              <w:t>START HERE</w:t>
            </w:r>
          </w:p>
          <w:p w14:paraId="5D161168" w14:textId="61D86A62" w:rsidR="00DF6D4C" w:rsidRDefault="003A6606">
            <w:r>
              <w:rPr>
                <w:rFonts w:eastAsia="Arial"/>
                <w:b/>
                <w:color w:val="005A43"/>
                <w:sz w:val="30"/>
              </w:rPr>
              <w:t xml:space="preserve">MAINE LTC/SNF EMERGENCY OPERATIONS </w:t>
            </w:r>
            <w:r w:rsidR="00FB4909">
              <w:rPr>
                <w:rFonts w:eastAsia="Arial"/>
                <w:b/>
                <w:color w:val="005A43"/>
                <w:sz w:val="30"/>
              </w:rPr>
              <w:t xml:space="preserve">    </w:t>
            </w:r>
            <w:r>
              <w:rPr>
                <w:rFonts w:eastAsia="Arial"/>
                <w:b/>
                <w:color w:val="005A43"/>
                <w:sz w:val="30"/>
              </w:rPr>
              <w:t>PLANNING TOOLKIT</w:t>
            </w:r>
          </w:p>
          <w:p w14:paraId="32A6A8AF" w14:textId="77777777" w:rsidR="00DF6D4C" w:rsidRDefault="003A6606">
            <w:r>
              <w:rPr>
                <w:rFonts w:eastAsia="Arial"/>
                <w:b/>
                <w:color w:val="E64A19"/>
                <w:sz w:val="22"/>
              </w:rPr>
              <w:t>A practical guide to using the HCC-ME LTC/SNF planning resources</w:t>
            </w:r>
          </w:p>
        </w:tc>
      </w:tr>
    </w:tbl>
    <w:p w14:paraId="6C30811C" w14:textId="77777777" w:rsidR="00DF6D4C" w:rsidRDefault="003A6606">
      <w:pPr>
        <w:spacing w:after="120" w:line="252" w:lineRule="auto"/>
      </w:pPr>
      <w:r>
        <w:rPr>
          <w:rFonts w:eastAsia="Arial"/>
          <w:color w:val="222222"/>
        </w:rPr>
        <w:t>This toolkit is designed to help Maine Long-Term Care and Skilled Nursing Facilities build, review, organize, and strengthen their emergency preparedness program using a consistent set of planning tools.</w:t>
      </w:r>
    </w:p>
    <w:tbl>
      <w:tblPr>
        <w:tblW w:w="0" w:type="auto"/>
        <w:jc w:val="center"/>
        <w:tblBorders>
          <w:top w:val="single" w:sz="5" w:space="0" w:color="E0B2A2"/>
          <w:left w:val="single" w:sz="5" w:space="0" w:color="E0B2A2"/>
          <w:bottom w:val="single" w:sz="5" w:space="0" w:color="E0B2A2"/>
          <w:right w:val="single" w:sz="5" w:space="0" w:color="E0B2A2"/>
          <w:insideH w:val="single" w:sz="5" w:space="0" w:color="E0B2A2"/>
          <w:insideV w:val="single" w:sz="5" w:space="0" w:color="E0B2A2"/>
        </w:tblBorders>
        <w:tblLook w:val="04A0" w:firstRow="1" w:lastRow="0" w:firstColumn="1" w:lastColumn="0" w:noHBand="0" w:noVBand="1"/>
      </w:tblPr>
      <w:tblGrid>
        <w:gridCol w:w="10356"/>
      </w:tblGrid>
      <w:tr w:rsidR="00DF6D4C" w14:paraId="79E597FD" w14:textId="77777777">
        <w:trPr>
          <w:jc w:val="center"/>
        </w:trPr>
        <w:tc>
          <w:tcPr>
            <w:tcW w:w="10368" w:type="dxa"/>
            <w:shd w:val="clear" w:color="auto" w:fill="FCEFEA"/>
            <w:tcMar>
              <w:top w:w="110" w:type="dxa"/>
              <w:left w:w="130" w:type="dxa"/>
              <w:bottom w:w="110" w:type="dxa"/>
              <w:right w:w="130" w:type="dxa"/>
            </w:tcMar>
          </w:tcPr>
          <w:p w14:paraId="1BD5F35B" w14:textId="77777777" w:rsidR="00DF6D4C" w:rsidRDefault="003A6606">
            <w:pPr>
              <w:spacing w:after="0"/>
            </w:pPr>
            <w:r>
              <w:rPr>
                <w:rFonts w:eastAsia="Arial"/>
                <w:b/>
                <w:color w:val="E64A19"/>
                <w:sz w:val="21"/>
              </w:rPr>
              <w:t xml:space="preserve">IMPORTANT  </w:t>
            </w:r>
            <w:r>
              <w:rPr>
                <w:rFonts w:eastAsia="Arial"/>
                <w:color w:val="222222"/>
                <w:sz w:val="21"/>
              </w:rPr>
              <w:t>HCC-ME is not a regulatory, licensing, accreditation, survey, or enforcement authority and does not impose emergency preparedness requirements. These resources are optional planning tools. Each facility remains responsible for identifying and meeting all current Federal, State of Maine, local, CMS certification, fire/life-safety, privacy, infection-control, accreditation, and organizational requirements that apply to the facility.</w:t>
            </w:r>
          </w:p>
        </w:tc>
      </w:tr>
    </w:tbl>
    <w:p w14:paraId="7804AC02" w14:textId="77777777" w:rsidR="00DF6D4C" w:rsidRDefault="00DF6D4C">
      <w:pPr>
        <w:spacing w:after="0"/>
      </w:pPr>
    </w:p>
    <w:p w14:paraId="6647C687" w14:textId="77777777" w:rsidR="00DF6D4C" w:rsidRDefault="003A6606">
      <w:pPr>
        <w:keepNext/>
        <w:pBdr>
          <w:bottom w:val="single" w:sz="14" w:space="5" w:color="E64A19"/>
        </w:pBdr>
        <w:spacing w:before="140" w:after="100"/>
      </w:pPr>
      <w:r>
        <w:rPr>
          <w:rFonts w:eastAsia="Arial"/>
          <w:b/>
          <w:color w:val="005A43"/>
          <w:sz w:val="34"/>
        </w:rPr>
        <w:t>WHO SHOULD USE THIS TOOLKIT?</w:t>
      </w:r>
    </w:p>
    <w:p w14:paraId="6A982858" w14:textId="77777777" w:rsidR="00DF6D4C" w:rsidRDefault="003A6606">
      <w:pPr>
        <w:spacing w:after="100" w:line="252" w:lineRule="auto"/>
      </w:pPr>
      <w:r>
        <w:rPr>
          <w:rFonts w:eastAsia="Arial"/>
          <w:color w:val="222222"/>
          <w:sz w:val="22"/>
        </w:rPr>
        <w:t>This toolkit is intended for Maine Skilled Nursing Facilities and Nursing Facilities. It is especially useful for administrators, directors of nursing, emergency preparedness coordinators, facilities/life-safety staff, infection preventionists, quality staff, and other team members involved in emergency planning.</w:t>
      </w:r>
    </w:p>
    <w:p w14:paraId="6A50A91C" w14:textId="77777777" w:rsidR="00DF6D4C" w:rsidRDefault="003A6606">
      <w:pPr>
        <w:keepNext/>
        <w:pBdr>
          <w:bottom w:val="single" w:sz="14" w:space="5" w:color="E64A19"/>
        </w:pBdr>
        <w:spacing w:before="140" w:after="100"/>
      </w:pPr>
      <w:r>
        <w:rPr>
          <w:rFonts w:eastAsia="Arial"/>
          <w:b/>
          <w:color w:val="005A43"/>
          <w:sz w:val="34"/>
        </w:rPr>
        <w:t>WHAT THIS TOOLKIT IS DESIGNED TO DO</w:t>
      </w:r>
    </w:p>
    <w:p w14:paraId="33747BA7" w14:textId="77777777" w:rsidR="00DF6D4C" w:rsidRDefault="003A6606">
      <w:pPr>
        <w:pStyle w:val="ListBullet"/>
        <w:spacing w:after="50"/>
        <w:ind w:left="403"/>
      </w:pPr>
      <w:r>
        <w:rPr>
          <w:rFonts w:eastAsia="Arial"/>
          <w:color w:val="222222"/>
          <w:sz w:val="22"/>
        </w:rPr>
        <w:t>Provide a Maine-specific starting point for creating or updating an Emergency Operations Plan (EOP).</w:t>
      </w:r>
    </w:p>
    <w:p w14:paraId="16B87F66" w14:textId="77777777" w:rsidR="00DF6D4C" w:rsidRDefault="003A6606">
      <w:pPr>
        <w:pStyle w:val="ListBullet"/>
        <w:spacing w:after="50"/>
        <w:ind w:left="403"/>
      </w:pPr>
      <w:r>
        <w:rPr>
          <w:rFonts w:eastAsia="Arial"/>
          <w:color w:val="222222"/>
          <w:sz w:val="22"/>
        </w:rPr>
        <w:t>Help facilities organize CMS, Maine, fire/life-safety, and other applicable requirements without treating HCC-ME recommendations as requirements.</w:t>
      </w:r>
    </w:p>
    <w:p w14:paraId="3EFC3BB4" w14:textId="77777777" w:rsidR="00DF6D4C" w:rsidRDefault="003A6606">
      <w:pPr>
        <w:pStyle w:val="ListBullet"/>
        <w:spacing w:after="50"/>
        <w:ind w:left="403"/>
      </w:pPr>
      <w:r>
        <w:rPr>
          <w:rFonts w:eastAsia="Arial"/>
          <w:color w:val="222222"/>
          <w:sz w:val="22"/>
        </w:rPr>
        <w:t>Connect the EOP to the facility Hazard Vulnerability Analysis (HVA), policies, communication plan, training/testing program, and supporting records.</w:t>
      </w:r>
    </w:p>
    <w:p w14:paraId="6D8B4573" w14:textId="77777777" w:rsidR="00DF6D4C" w:rsidRDefault="003A6606">
      <w:pPr>
        <w:pStyle w:val="ListBullet"/>
        <w:spacing w:after="50"/>
        <w:ind w:left="403"/>
      </w:pPr>
      <w:r>
        <w:rPr>
          <w:rFonts w:eastAsia="Arial"/>
          <w:color w:val="222222"/>
          <w:sz w:val="22"/>
        </w:rPr>
        <w:t>Give facilities practical forms and trackers that can be used during preparedness activities and actual emergencies.</w:t>
      </w:r>
    </w:p>
    <w:p w14:paraId="12F43D8C" w14:textId="77777777" w:rsidR="00DF6D4C" w:rsidRDefault="003A6606">
      <w:pPr>
        <w:pStyle w:val="ListBullet"/>
        <w:spacing w:after="50"/>
        <w:ind w:left="403"/>
      </w:pPr>
      <w:r>
        <w:rPr>
          <w:rFonts w:eastAsia="Arial"/>
          <w:color w:val="222222"/>
          <w:sz w:val="22"/>
        </w:rPr>
        <w:t>Make supporting documentation easier to find, maintain, and produce during internal review or survey activity.</w:t>
      </w:r>
    </w:p>
    <w:p w14:paraId="3EE9E592" w14:textId="77777777" w:rsidR="00DF6D4C" w:rsidRDefault="003A6606">
      <w:r>
        <w:br w:type="page"/>
      </w:r>
    </w:p>
    <w:p w14:paraId="2E18F758" w14:textId="77777777" w:rsidR="00DF6D4C" w:rsidRDefault="003A6606">
      <w:pPr>
        <w:keepNext/>
        <w:pBdr>
          <w:bottom w:val="single" w:sz="14" w:space="5" w:color="E64A19"/>
        </w:pBdr>
        <w:spacing w:before="140" w:after="100"/>
      </w:pPr>
      <w:r>
        <w:rPr>
          <w:rFonts w:eastAsia="Arial"/>
          <w:b/>
          <w:color w:val="005A43"/>
          <w:sz w:val="34"/>
        </w:rPr>
        <w:lastRenderedPageBreak/>
        <w:t>RECOMMENDED ORDER: HOW TO USE THE TOOLKIT</w:t>
      </w:r>
    </w:p>
    <w:p w14:paraId="0ED5B4A0" w14:textId="77777777" w:rsidR="00DF6D4C" w:rsidRDefault="003A6606">
      <w:pPr>
        <w:spacing w:after="140" w:line="252" w:lineRule="auto"/>
      </w:pPr>
      <w:r>
        <w:rPr>
          <w:rFonts w:eastAsia="Arial"/>
          <w:i/>
          <w:color w:val="666666"/>
          <w:sz w:val="22"/>
        </w:rPr>
        <w:t>You do not need to complete every document at once. Use the toolkit in the order below and update the materials as your facility plans, exercises, and real-world experience evolve.</w:t>
      </w:r>
    </w:p>
    <w:tbl>
      <w:tblPr>
        <w:tblW w:w="0" w:type="auto"/>
        <w:jc w:val="center"/>
        <w:tblBorders>
          <w:top w:val="single" w:sz="5" w:space="0" w:color="B7C6C0"/>
          <w:left w:val="single" w:sz="5" w:space="0" w:color="B7C6C0"/>
          <w:bottom w:val="single" w:sz="5" w:space="0" w:color="B7C6C0"/>
          <w:right w:val="single" w:sz="5" w:space="0" w:color="B7C6C0"/>
          <w:insideH w:val="single" w:sz="5" w:space="0" w:color="B7C6C0"/>
          <w:insideV w:val="single" w:sz="5" w:space="0" w:color="B7C6C0"/>
        </w:tblBorders>
        <w:tblLayout w:type="fixed"/>
        <w:tblLook w:val="04A0" w:firstRow="1" w:lastRow="0" w:firstColumn="1" w:lastColumn="0" w:noHBand="0" w:noVBand="1"/>
      </w:tblPr>
      <w:tblGrid>
        <w:gridCol w:w="792"/>
        <w:gridCol w:w="3096"/>
        <w:gridCol w:w="6552"/>
      </w:tblGrid>
      <w:tr w:rsidR="00DF6D4C" w14:paraId="10B38CFE" w14:textId="77777777">
        <w:trPr>
          <w:cantSplit/>
          <w:jc w:val="center"/>
        </w:trPr>
        <w:tc>
          <w:tcPr>
            <w:tcW w:w="792" w:type="dxa"/>
            <w:shd w:val="clear" w:color="auto" w:fill="005A43"/>
            <w:tcMar>
              <w:top w:w="105" w:type="dxa"/>
              <w:left w:w="100" w:type="dxa"/>
              <w:bottom w:w="105" w:type="dxa"/>
              <w:right w:w="100" w:type="dxa"/>
            </w:tcMar>
          </w:tcPr>
          <w:p w14:paraId="377F26CE" w14:textId="77777777" w:rsidR="00DF6D4C" w:rsidRDefault="003A6606">
            <w:pPr>
              <w:jc w:val="center"/>
            </w:pPr>
            <w:r>
              <w:rPr>
                <w:rFonts w:eastAsia="Arial"/>
                <w:b/>
                <w:color w:val="FFFFFF"/>
                <w:sz w:val="26"/>
              </w:rPr>
              <w:t>1</w:t>
            </w:r>
          </w:p>
        </w:tc>
        <w:tc>
          <w:tcPr>
            <w:tcW w:w="3096" w:type="dxa"/>
            <w:shd w:val="clear" w:color="auto" w:fill="EAF4F0"/>
            <w:tcMar>
              <w:top w:w="105" w:type="dxa"/>
              <w:left w:w="100" w:type="dxa"/>
              <w:bottom w:w="105" w:type="dxa"/>
              <w:right w:w="100" w:type="dxa"/>
            </w:tcMar>
          </w:tcPr>
          <w:p w14:paraId="24008E05" w14:textId="77777777" w:rsidR="00DF6D4C" w:rsidRDefault="003A6606">
            <w:r>
              <w:rPr>
                <w:rFonts w:eastAsia="Arial"/>
                <w:b/>
                <w:color w:val="005A43"/>
                <w:sz w:val="22"/>
              </w:rPr>
              <w:t>Review the Compliance Checklist</w:t>
            </w:r>
          </w:p>
        </w:tc>
        <w:tc>
          <w:tcPr>
            <w:tcW w:w="6552" w:type="dxa"/>
            <w:tcMar>
              <w:top w:w="105" w:type="dxa"/>
              <w:left w:w="100" w:type="dxa"/>
              <w:bottom w:w="105" w:type="dxa"/>
              <w:right w:w="100" w:type="dxa"/>
            </w:tcMar>
          </w:tcPr>
          <w:p w14:paraId="44551FD8" w14:textId="77777777" w:rsidR="00DF6D4C" w:rsidRDefault="003A6606">
            <w:r>
              <w:rPr>
                <w:rFonts w:eastAsia="Arial"/>
                <w:color w:val="222222"/>
                <w:sz w:val="21"/>
              </w:rPr>
              <w:t>Start with the LTC/SNF Emergency Preparedness Compliance Checklist. Identify what your facility already has, what needs review, what is missing, and where supporting evidence is stored.</w:t>
            </w:r>
          </w:p>
        </w:tc>
      </w:tr>
      <w:tr w:rsidR="00DF6D4C" w14:paraId="0F1F4E48" w14:textId="77777777">
        <w:trPr>
          <w:cantSplit/>
          <w:jc w:val="center"/>
        </w:trPr>
        <w:tc>
          <w:tcPr>
            <w:tcW w:w="792" w:type="dxa"/>
            <w:shd w:val="clear" w:color="auto" w:fill="005A43"/>
            <w:tcMar>
              <w:top w:w="105" w:type="dxa"/>
              <w:left w:w="100" w:type="dxa"/>
              <w:bottom w:w="105" w:type="dxa"/>
              <w:right w:w="100" w:type="dxa"/>
            </w:tcMar>
          </w:tcPr>
          <w:p w14:paraId="5334B8D9" w14:textId="77777777" w:rsidR="00DF6D4C" w:rsidRDefault="003A6606">
            <w:pPr>
              <w:jc w:val="center"/>
            </w:pPr>
            <w:r>
              <w:rPr>
                <w:rFonts w:eastAsia="Arial"/>
                <w:b/>
                <w:color w:val="FFFFFF"/>
                <w:sz w:val="26"/>
              </w:rPr>
              <w:t>2</w:t>
            </w:r>
          </w:p>
        </w:tc>
        <w:tc>
          <w:tcPr>
            <w:tcW w:w="3096" w:type="dxa"/>
            <w:shd w:val="clear" w:color="auto" w:fill="EAF4F0"/>
            <w:tcMar>
              <w:top w:w="105" w:type="dxa"/>
              <w:left w:w="100" w:type="dxa"/>
              <w:bottom w:w="105" w:type="dxa"/>
              <w:right w:w="100" w:type="dxa"/>
            </w:tcMar>
          </w:tcPr>
          <w:p w14:paraId="28A44F19" w14:textId="77777777" w:rsidR="00DF6D4C" w:rsidRDefault="003A6606">
            <w:r>
              <w:rPr>
                <w:rFonts w:eastAsia="Arial"/>
                <w:b/>
                <w:color w:val="005A43"/>
                <w:sz w:val="22"/>
              </w:rPr>
              <w:t>Complete or Update the HVA</w:t>
            </w:r>
          </w:p>
        </w:tc>
        <w:tc>
          <w:tcPr>
            <w:tcW w:w="6552" w:type="dxa"/>
            <w:tcMar>
              <w:top w:w="105" w:type="dxa"/>
              <w:left w:w="100" w:type="dxa"/>
              <w:bottom w:w="105" w:type="dxa"/>
              <w:right w:w="100" w:type="dxa"/>
            </w:tcMar>
          </w:tcPr>
          <w:p w14:paraId="427B4BFF" w14:textId="77777777" w:rsidR="00DF6D4C" w:rsidRDefault="003A6606">
            <w:r>
              <w:rPr>
                <w:rFonts w:eastAsia="Arial"/>
                <w:color w:val="222222"/>
                <w:sz w:val="21"/>
              </w:rPr>
              <w:t>Review facility-based and community-based risks using the LTC/SNF HVA. Prioritize the hazards and consequences most likely to affect residents, staffing, utilities, access, supplies, communications, and continuity of care.</w:t>
            </w:r>
          </w:p>
        </w:tc>
      </w:tr>
      <w:tr w:rsidR="00DF6D4C" w14:paraId="4410D165" w14:textId="77777777">
        <w:trPr>
          <w:cantSplit/>
          <w:jc w:val="center"/>
        </w:trPr>
        <w:tc>
          <w:tcPr>
            <w:tcW w:w="792" w:type="dxa"/>
            <w:shd w:val="clear" w:color="auto" w:fill="005A43"/>
            <w:tcMar>
              <w:top w:w="105" w:type="dxa"/>
              <w:left w:w="100" w:type="dxa"/>
              <w:bottom w:w="105" w:type="dxa"/>
              <w:right w:w="100" w:type="dxa"/>
            </w:tcMar>
          </w:tcPr>
          <w:p w14:paraId="3F0ACF10" w14:textId="77777777" w:rsidR="00DF6D4C" w:rsidRDefault="003A6606">
            <w:pPr>
              <w:jc w:val="center"/>
            </w:pPr>
            <w:r>
              <w:rPr>
                <w:rFonts w:eastAsia="Arial"/>
                <w:b/>
                <w:color w:val="FFFFFF"/>
                <w:sz w:val="26"/>
              </w:rPr>
              <w:t>3</w:t>
            </w:r>
          </w:p>
        </w:tc>
        <w:tc>
          <w:tcPr>
            <w:tcW w:w="3096" w:type="dxa"/>
            <w:shd w:val="clear" w:color="auto" w:fill="EAF4F0"/>
            <w:tcMar>
              <w:top w:w="105" w:type="dxa"/>
              <w:left w:w="100" w:type="dxa"/>
              <w:bottom w:w="105" w:type="dxa"/>
              <w:right w:w="100" w:type="dxa"/>
            </w:tcMar>
          </w:tcPr>
          <w:p w14:paraId="1CB6676A" w14:textId="77777777" w:rsidR="00DF6D4C" w:rsidRDefault="003A6606">
            <w:r>
              <w:rPr>
                <w:rFonts w:eastAsia="Arial"/>
                <w:b/>
                <w:color w:val="005A43"/>
                <w:sz w:val="22"/>
              </w:rPr>
              <w:t>Build or Update the EOP</w:t>
            </w:r>
          </w:p>
        </w:tc>
        <w:tc>
          <w:tcPr>
            <w:tcW w:w="6552" w:type="dxa"/>
            <w:tcMar>
              <w:top w:w="105" w:type="dxa"/>
              <w:left w:w="100" w:type="dxa"/>
              <w:bottom w:w="105" w:type="dxa"/>
              <w:right w:w="100" w:type="dxa"/>
            </w:tcMar>
          </w:tcPr>
          <w:p w14:paraId="1CAA15BE" w14:textId="77777777" w:rsidR="00DF6D4C" w:rsidRDefault="003A6606">
            <w:r>
              <w:rPr>
                <w:rFonts w:eastAsia="Arial"/>
                <w:color w:val="222222"/>
                <w:sz w:val="21"/>
              </w:rPr>
              <w:t>Use the Maine LTC/SNF EOP Template as the main planning document. Replace placeholders with facility-specific information and remove or mark N/A content that does not apply.</w:t>
            </w:r>
          </w:p>
        </w:tc>
      </w:tr>
      <w:tr w:rsidR="00DF6D4C" w14:paraId="3D665363" w14:textId="77777777">
        <w:trPr>
          <w:cantSplit/>
          <w:jc w:val="center"/>
        </w:trPr>
        <w:tc>
          <w:tcPr>
            <w:tcW w:w="792" w:type="dxa"/>
            <w:shd w:val="clear" w:color="auto" w:fill="005A43"/>
            <w:tcMar>
              <w:top w:w="105" w:type="dxa"/>
              <w:left w:w="100" w:type="dxa"/>
              <w:bottom w:w="105" w:type="dxa"/>
              <w:right w:w="100" w:type="dxa"/>
            </w:tcMar>
          </w:tcPr>
          <w:p w14:paraId="543DF272" w14:textId="77777777" w:rsidR="00DF6D4C" w:rsidRDefault="003A6606">
            <w:pPr>
              <w:jc w:val="center"/>
            </w:pPr>
            <w:r>
              <w:rPr>
                <w:rFonts w:eastAsia="Arial"/>
                <w:b/>
                <w:color w:val="FFFFFF"/>
                <w:sz w:val="26"/>
              </w:rPr>
              <w:t>4</w:t>
            </w:r>
          </w:p>
        </w:tc>
        <w:tc>
          <w:tcPr>
            <w:tcW w:w="3096" w:type="dxa"/>
            <w:shd w:val="clear" w:color="auto" w:fill="EAF4F0"/>
            <w:tcMar>
              <w:top w:w="105" w:type="dxa"/>
              <w:left w:w="100" w:type="dxa"/>
              <w:bottom w:w="105" w:type="dxa"/>
              <w:right w:w="100" w:type="dxa"/>
            </w:tcMar>
          </w:tcPr>
          <w:p w14:paraId="678AE8B0" w14:textId="77777777" w:rsidR="00DF6D4C" w:rsidRDefault="003A6606">
            <w:r>
              <w:rPr>
                <w:rFonts w:eastAsia="Arial"/>
                <w:b/>
                <w:color w:val="005A43"/>
                <w:sz w:val="22"/>
              </w:rPr>
              <w:t>Cross-Reference Policies and Evidence</w:t>
            </w:r>
          </w:p>
        </w:tc>
        <w:tc>
          <w:tcPr>
            <w:tcW w:w="6552" w:type="dxa"/>
            <w:tcMar>
              <w:top w:w="105" w:type="dxa"/>
              <w:left w:w="100" w:type="dxa"/>
              <w:bottom w:w="105" w:type="dxa"/>
              <w:right w:w="100" w:type="dxa"/>
            </w:tcMar>
          </w:tcPr>
          <w:p w14:paraId="570D89A5" w14:textId="77777777" w:rsidR="00DF6D4C" w:rsidRDefault="003A6606">
            <w:r>
              <w:rPr>
                <w:rFonts w:eastAsia="Arial"/>
                <w:color w:val="222222"/>
                <w:sz w:val="21"/>
              </w:rPr>
              <w:t>Use the Policies &amp; Procedures Crosswalk and Supporting Documentation Index to show where required policies, agreements, inspection records, training records, rosters, maps, and other evidence are maintained. Large or confidential records do not have to be inserted into the EOP when they are clearly referenced and readily retrievable.</w:t>
            </w:r>
          </w:p>
        </w:tc>
      </w:tr>
      <w:tr w:rsidR="00DF6D4C" w14:paraId="4E5EAF69" w14:textId="77777777">
        <w:trPr>
          <w:cantSplit/>
          <w:jc w:val="center"/>
        </w:trPr>
        <w:tc>
          <w:tcPr>
            <w:tcW w:w="792" w:type="dxa"/>
            <w:shd w:val="clear" w:color="auto" w:fill="005A43"/>
            <w:tcMar>
              <w:top w:w="105" w:type="dxa"/>
              <w:left w:w="100" w:type="dxa"/>
              <w:bottom w:w="105" w:type="dxa"/>
              <w:right w:w="100" w:type="dxa"/>
            </w:tcMar>
          </w:tcPr>
          <w:p w14:paraId="1999CBA4" w14:textId="77777777" w:rsidR="00DF6D4C" w:rsidRDefault="003A6606">
            <w:pPr>
              <w:jc w:val="center"/>
            </w:pPr>
            <w:r>
              <w:rPr>
                <w:rFonts w:eastAsia="Arial"/>
                <w:b/>
                <w:color w:val="FFFFFF"/>
                <w:sz w:val="26"/>
              </w:rPr>
              <w:t>5</w:t>
            </w:r>
          </w:p>
        </w:tc>
        <w:tc>
          <w:tcPr>
            <w:tcW w:w="3096" w:type="dxa"/>
            <w:shd w:val="clear" w:color="auto" w:fill="EAF4F0"/>
            <w:tcMar>
              <w:top w:w="105" w:type="dxa"/>
              <w:left w:w="100" w:type="dxa"/>
              <w:bottom w:w="105" w:type="dxa"/>
              <w:right w:w="100" w:type="dxa"/>
            </w:tcMar>
          </w:tcPr>
          <w:p w14:paraId="3C2621C7" w14:textId="77777777" w:rsidR="00DF6D4C" w:rsidRDefault="003A6606">
            <w:r>
              <w:rPr>
                <w:rFonts w:eastAsia="Arial"/>
                <w:b/>
                <w:color w:val="005A43"/>
                <w:sz w:val="22"/>
              </w:rPr>
              <w:t>Customize Operational Forms</w:t>
            </w:r>
          </w:p>
        </w:tc>
        <w:tc>
          <w:tcPr>
            <w:tcW w:w="6552" w:type="dxa"/>
            <w:tcMar>
              <w:top w:w="105" w:type="dxa"/>
              <w:left w:w="100" w:type="dxa"/>
              <w:bottom w:w="105" w:type="dxa"/>
              <w:right w:w="100" w:type="dxa"/>
            </w:tcMar>
          </w:tcPr>
          <w:p w14:paraId="1DEAA8E9" w14:textId="77777777" w:rsidR="00DF6D4C" w:rsidRDefault="003A6606">
            <w:r>
              <w:rPr>
                <w:rFonts w:eastAsia="Arial"/>
                <w:color w:val="222222"/>
                <w:sz w:val="21"/>
              </w:rPr>
              <w:t>Review the standalone forms and keep the ones your facility will actually use. Customize resident tracking, staff accountability, transfer, MOU, emergency power, crisis staffing, exercise, drill, and AAR/IP forms to fit facility operations.</w:t>
            </w:r>
          </w:p>
        </w:tc>
      </w:tr>
      <w:tr w:rsidR="00DF6D4C" w14:paraId="21B8B8C4" w14:textId="77777777">
        <w:trPr>
          <w:cantSplit/>
          <w:jc w:val="center"/>
        </w:trPr>
        <w:tc>
          <w:tcPr>
            <w:tcW w:w="792" w:type="dxa"/>
            <w:shd w:val="clear" w:color="auto" w:fill="005A43"/>
            <w:tcMar>
              <w:top w:w="105" w:type="dxa"/>
              <w:left w:w="100" w:type="dxa"/>
              <w:bottom w:w="105" w:type="dxa"/>
              <w:right w:w="100" w:type="dxa"/>
            </w:tcMar>
          </w:tcPr>
          <w:p w14:paraId="217C34E6" w14:textId="77777777" w:rsidR="00DF6D4C" w:rsidRDefault="003A6606">
            <w:pPr>
              <w:jc w:val="center"/>
            </w:pPr>
            <w:r>
              <w:rPr>
                <w:rFonts w:eastAsia="Arial"/>
                <w:b/>
                <w:color w:val="FFFFFF"/>
                <w:sz w:val="26"/>
              </w:rPr>
              <w:t>6</w:t>
            </w:r>
          </w:p>
        </w:tc>
        <w:tc>
          <w:tcPr>
            <w:tcW w:w="3096" w:type="dxa"/>
            <w:shd w:val="clear" w:color="auto" w:fill="EAF4F0"/>
            <w:tcMar>
              <w:top w:w="105" w:type="dxa"/>
              <w:left w:w="100" w:type="dxa"/>
              <w:bottom w:w="105" w:type="dxa"/>
              <w:right w:w="100" w:type="dxa"/>
            </w:tcMar>
          </w:tcPr>
          <w:p w14:paraId="350628A8" w14:textId="77777777" w:rsidR="00DF6D4C" w:rsidRDefault="003A6606">
            <w:r>
              <w:rPr>
                <w:rFonts w:eastAsia="Arial"/>
                <w:b/>
                <w:color w:val="005A43"/>
                <w:sz w:val="22"/>
              </w:rPr>
              <w:t>Train, Drill, Exercise, and Improve</w:t>
            </w:r>
          </w:p>
        </w:tc>
        <w:tc>
          <w:tcPr>
            <w:tcW w:w="6552" w:type="dxa"/>
            <w:tcMar>
              <w:top w:w="105" w:type="dxa"/>
              <w:left w:w="100" w:type="dxa"/>
              <w:bottom w:w="105" w:type="dxa"/>
              <w:right w:w="100" w:type="dxa"/>
            </w:tcMar>
          </w:tcPr>
          <w:p w14:paraId="48528B59" w14:textId="77777777" w:rsidR="00DF6D4C" w:rsidRDefault="003A6606">
            <w:r>
              <w:rPr>
                <w:rFonts w:eastAsia="Arial"/>
                <w:color w:val="222222"/>
                <w:sz w:val="21"/>
              </w:rPr>
              <w:t>Use the training and exercise trackers to document required activities. Record Maine disaster-plan rehearsal drills, CMS exercises, actual-event responses, after-action findings, and corrective actions. Update the EOP when lessons learned identify needed changes.</w:t>
            </w:r>
          </w:p>
        </w:tc>
      </w:tr>
      <w:tr w:rsidR="00DF6D4C" w14:paraId="6281B4D9" w14:textId="77777777">
        <w:trPr>
          <w:cantSplit/>
          <w:jc w:val="center"/>
        </w:trPr>
        <w:tc>
          <w:tcPr>
            <w:tcW w:w="792" w:type="dxa"/>
            <w:shd w:val="clear" w:color="auto" w:fill="005A43"/>
            <w:tcMar>
              <w:top w:w="105" w:type="dxa"/>
              <w:left w:w="100" w:type="dxa"/>
              <w:bottom w:w="105" w:type="dxa"/>
              <w:right w:w="100" w:type="dxa"/>
            </w:tcMar>
          </w:tcPr>
          <w:p w14:paraId="4694EC1A" w14:textId="77777777" w:rsidR="00DF6D4C" w:rsidRDefault="003A6606">
            <w:pPr>
              <w:jc w:val="center"/>
            </w:pPr>
            <w:r>
              <w:rPr>
                <w:rFonts w:eastAsia="Arial"/>
                <w:b/>
                <w:color w:val="FFFFFF"/>
                <w:sz w:val="26"/>
              </w:rPr>
              <w:t>7</w:t>
            </w:r>
          </w:p>
        </w:tc>
        <w:tc>
          <w:tcPr>
            <w:tcW w:w="3096" w:type="dxa"/>
            <w:shd w:val="clear" w:color="auto" w:fill="EAF4F0"/>
            <w:tcMar>
              <w:top w:w="105" w:type="dxa"/>
              <w:left w:w="100" w:type="dxa"/>
              <w:bottom w:w="105" w:type="dxa"/>
              <w:right w:w="100" w:type="dxa"/>
            </w:tcMar>
          </w:tcPr>
          <w:p w14:paraId="5A32846D" w14:textId="77777777" w:rsidR="00DF6D4C" w:rsidRDefault="003A6606">
            <w:r>
              <w:rPr>
                <w:rFonts w:eastAsia="Arial"/>
                <w:b/>
                <w:color w:val="005A43"/>
                <w:sz w:val="22"/>
              </w:rPr>
              <w:t>Review at Least Annually</w:t>
            </w:r>
          </w:p>
        </w:tc>
        <w:tc>
          <w:tcPr>
            <w:tcW w:w="6552" w:type="dxa"/>
            <w:tcMar>
              <w:top w:w="105" w:type="dxa"/>
              <w:left w:w="100" w:type="dxa"/>
              <w:bottom w:w="105" w:type="dxa"/>
              <w:right w:w="100" w:type="dxa"/>
            </w:tcMar>
          </w:tcPr>
          <w:p w14:paraId="5F0F2169" w14:textId="77777777" w:rsidR="00DF6D4C" w:rsidRDefault="003A6606">
            <w:r>
              <w:rPr>
                <w:rFonts w:eastAsia="Arial"/>
                <w:color w:val="222222"/>
                <w:sz w:val="21"/>
              </w:rPr>
              <w:t>Verify the HVA, EOP, policies, contacts, agreements, staffing strategies, utilities, drills/exercises, and supporting-document locations at least annually and whenever material changes occur. Confirm current source versions during review.</w:t>
            </w:r>
          </w:p>
        </w:tc>
      </w:tr>
    </w:tbl>
    <w:p w14:paraId="2503E4C4" w14:textId="77777777" w:rsidR="00DF6D4C" w:rsidRDefault="00DF6D4C">
      <w:pPr>
        <w:spacing w:after="0"/>
      </w:pPr>
    </w:p>
    <w:p w14:paraId="216BF751" w14:textId="77777777" w:rsidR="00DF6D4C" w:rsidRDefault="003A6606">
      <w:pPr>
        <w:keepNext/>
        <w:pBdr>
          <w:bottom w:val="single" w:sz="14" w:space="5" w:color="E64A19"/>
        </w:pBdr>
        <w:spacing w:before="140" w:after="100"/>
      </w:pPr>
      <w:r>
        <w:rPr>
          <w:rFonts w:eastAsia="Arial"/>
          <w:b/>
          <w:color w:val="005A43"/>
          <w:sz w:val="34"/>
        </w:rPr>
        <w:lastRenderedPageBreak/>
        <w:t>A SIMPLE WAY TO THINK ABOUT THE TOOLKIT</w:t>
      </w:r>
    </w:p>
    <w:tbl>
      <w:tblPr>
        <w:tblW w:w="0" w:type="auto"/>
        <w:jc w:val="center"/>
        <w:tblBorders>
          <w:top w:val="single" w:sz="5" w:space="0" w:color="A7C8BD"/>
          <w:left w:val="single" w:sz="5" w:space="0" w:color="A7C8BD"/>
          <w:bottom w:val="single" w:sz="5" w:space="0" w:color="A7C8BD"/>
          <w:right w:val="single" w:sz="5" w:space="0" w:color="A7C8BD"/>
          <w:insideH w:val="single" w:sz="5" w:space="0" w:color="A7C8BD"/>
          <w:insideV w:val="single" w:sz="5" w:space="0" w:color="A7C8BD"/>
        </w:tblBorders>
        <w:tblLook w:val="04A0" w:firstRow="1" w:lastRow="0" w:firstColumn="1" w:lastColumn="0" w:noHBand="0" w:noVBand="1"/>
      </w:tblPr>
      <w:tblGrid>
        <w:gridCol w:w="10356"/>
      </w:tblGrid>
      <w:tr w:rsidR="00DF6D4C" w14:paraId="5FBCF537" w14:textId="77777777">
        <w:trPr>
          <w:jc w:val="center"/>
        </w:trPr>
        <w:tc>
          <w:tcPr>
            <w:tcW w:w="10368" w:type="dxa"/>
            <w:shd w:val="clear" w:color="auto" w:fill="EAF4F0"/>
            <w:tcMar>
              <w:top w:w="110" w:type="dxa"/>
              <w:left w:w="130" w:type="dxa"/>
              <w:bottom w:w="110" w:type="dxa"/>
              <w:right w:w="130" w:type="dxa"/>
            </w:tcMar>
          </w:tcPr>
          <w:p w14:paraId="45FB962C" w14:textId="77777777" w:rsidR="00DF6D4C" w:rsidRDefault="003A6606">
            <w:pPr>
              <w:spacing w:after="0"/>
            </w:pPr>
            <w:r>
              <w:rPr>
                <w:rFonts w:eastAsia="Arial"/>
                <w:b/>
                <w:color w:val="005A43"/>
                <w:sz w:val="21"/>
              </w:rPr>
              <w:t xml:space="preserve">PLAN  </w:t>
            </w:r>
            <w:r>
              <w:rPr>
                <w:rFonts w:eastAsia="Arial"/>
                <w:color w:val="222222"/>
                <w:sz w:val="21"/>
              </w:rPr>
              <w:t>The EOP explains what the facility will do.</w:t>
            </w:r>
          </w:p>
        </w:tc>
      </w:tr>
    </w:tbl>
    <w:p w14:paraId="6F183A03" w14:textId="77777777" w:rsidR="00DF6D4C" w:rsidRDefault="00DF6D4C">
      <w:pPr>
        <w:spacing w:after="0"/>
      </w:pPr>
    </w:p>
    <w:tbl>
      <w:tblPr>
        <w:tblW w:w="0" w:type="auto"/>
        <w:jc w:val="center"/>
        <w:tblBorders>
          <w:top w:val="single" w:sz="5" w:space="0" w:color="A7C8BD"/>
          <w:left w:val="single" w:sz="5" w:space="0" w:color="A7C8BD"/>
          <w:bottom w:val="single" w:sz="5" w:space="0" w:color="A7C8BD"/>
          <w:right w:val="single" w:sz="5" w:space="0" w:color="A7C8BD"/>
          <w:insideH w:val="single" w:sz="5" w:space="0" w:color="A7C8BD"/>
          <w:insideV w:val="single" w:sz="5" w:space="0" w:color="A7C8BD"/>
        </w:tblBorders>
        <w:tblLook w:val="04A0" w:firstRow="1" w:lastRow="0" w:firstColumn="1" w:lastColumn="0" w:noHBand="0" w:noVBand="1"/>
      </w:tblPr>
      <w:tblGrid>
        <w:gridCol w:w="10356"/>
      </w:tblGrid>
      <w:tr w:rsidR="00DF6D4C" w14:paraId="4C9A5165" w14:textId="77777777">
        <w:trPr>
          <w:jc w:val="center"/>
        </w:trPr>
        <w:tc>
          <w:tcPr>
            <w:tcW w:w="10368" w:type="dxa"/>
            <w:shd w:val="clear" w:color="auto" w:fill="EAF4F0"/>
            <w:tcMar>
              <w:top w:w="110" w:type="dxa"/>
              <w:left w:w="130" w:type="dxa"/>
              <w:bottom w:w="110" w:type="dxa"/>
              <w:right w:w="130" w:type="dxa"/>
            </w:tcMar>
          </w:tcPr>
          <w:p w14:paraId="0F7668AC" w14:textId="77777777" w:rsidR="00DF6D4C" w:rsidRDefault="003A6606">
            <w:pPr>
              <w:spacing w:after="0"/>
            </w:pPr>
            <w:r>
              <w:rPr>
                <w:rFonts w:eastAsia="Arial"/>
                <w:b/>
                <w:color w:val="005A43"/>
                <w:sz w:val="21"/>
              </w:rPr>
              <w:t xml:space="preserve">PROVE  </w:t>
            </w:r>
            <w:r>
              <w:rPr>
                <w:rFonts w:eastAsia="Arial"/>
                <w:color w:val="222222"/>
                <w:sz w:val="21"/>
              </w:rPr>
              <w:t>The Supporting Documentation Index shows where the facility can find the policies, agreements, records, inspections, rosters, maps, forms, and other evidence that supports the plan.</w:t>
            </w:r>
          </w:p>
        </w:tc>
      </w:tr>
    </w:tbl>
    <w:p w14:paraId="57317166" w14:textId="77777777" w:rsidR="00DF6D4C" w:rsidRDefault="00DF6D4C">
      <w:pPr>
        <w:spacing w:after="0"/>
      </w:pPr>
    </w:p>
    <w:tbl>
      <w:tblPr>
        <w:tblW w:w="0" w:type="auto"/>
        <w:jc w:val="center"/>
        <w:tblBorders>
          <w:top w:val="single" w:sz="5" w:space="0" w:color="A7C8BD"/>
          <w:left w:val="single" w:sz="5" w:space="0" w:color="A7C8BD"/>
          <w:bottom w:val="single" w:sz="5" w:space="0" w:color="A7C8BD"/>
          <w:right w:val="single" w:sz="5" w:space="0" w:color="A7C8BD"/>
          <w:insideH w:val="single" w:sz="5" w:space="0" w:color="A7C8BD"/>
          <w:insideV w:val="single" w:sz="5" w:space="0" w:color="A7C8BD"/>
        </w:tblBorders>
        <w:tblLook w:val="04A0" w:firstRow="1" w:lastRow="0" w:firstColumn="1" w:lastColumn="0" w:noHBand="0" w:noVBand="1"/>
      </w:tblPr>
      <w:tblGrid>
        <w:gridCol w:w="10356"/>
      </w:tblGrid>
      <w:tr w:rsidR="00DF6D4C" w14:paraId="65E33F2C" w14:textId="77777777">
        <w:trPr>
          <w:jc w:val="center"/>
        </w:trPr>
        <w:tc>
          <w:tcPr>
            <w:tcW w:w="10368" w:type="dxa"/>
            <w:shd w:val="clear" w:color="auto" w:fill="EAF4F0"/>
            <w:tcMar>
              <w:top w:w="110" w:type="dxa"/>
              <w:left w:w="130" w:type="dxa"/>
              <w:bottom w:w="110" w:type="dxa"/>
              <w:right w:w="130" w:type="dxa"/>
            </w:tcMar>
          </w:tcPr>
          <w:p w14:paraId="1ED82A80" w14:textId="77777777" w:rsidR="00DF6D4C" w:rsidRDefault="003A6606">
            <w:pPr>
              <w:spacing w:after="0"/>
            </w:pPr>
            <w:r>
              <w:rPr>
                <w:rFonts w:eastAsia="Arial"/>
                <w:b/>
                <w:color w:val="005A43"/>
                <w:sz w:val="21"/>
              </w:rPr>
              <w:t xml:space="preserve">PRACTICE  </w:t>
            </w:r>
            <w:r>
              <w:rPr>
                <w:rFonts w:eastAsia="Arial"/>
                <w:color w:val="222222"/>
                <w:sz w:val="21"/>
              </w:rPr>
              <w:t>Training, drills, exercises, actual-event response, AARs, and corrective actions demonstrate that the plan is understood, tested, and improved over time.</w:t>
            </w:r>
          </w:p>
        </w:tc>
      </w:tr>
    </w:tbl>
    <w:p w14:paraId="59FB708C" w14:textId="77777777" w:rsidR="00DF6D4C" w:rsidRDefault="00DF6D4C">
      <w:pPr>
        <w:spacing w:after="0"/>
      </w:pPr>
    </w:p>
    <w:p w14:paraId="1E19847A" w14:textId="77777777" w:rsidR="00DF6D4C" w:rsidRDefault="003A6606">
      <w:r>
        <w:br w:type="page"/>
      </w:r>
    </w:p>
    <w:p w14:paraId="53FBF916" w14:textId="77777777" w:rsidR="00DF6D4C" w:rsidRDefault="003A6606">
      <w:pPr>
        <w:keepNext/>
        <w:pBdr>
          <w:bottom w:val="single" w:sz="14" w:space="5" w:color="E64A19"/>
        </w:pBdr>
        <w:spacing w:before="140" w:after="100"/>
      </w:pPr>
      <w:r>
        <w:rPr>
          <w:rFonts w:eastAsia="Arial"/>
          <w:b/>
          <w:color w:val="005A43"/>
          <w:sz w:val="34"/>
        </w:rPr>
        <w:lastRenderedPageBreak/>
        <w:t>WHAT IS INCLUDED IN THE LTC/SNF TOOLKIT?</w:t>
      </w:r>
    </w:p>
    <w:tbl>
      <w:tblPr>
        <w:tblW w:w="0" w:type="auto"/>
        <w:jc w:val="center"/>
        <w:tblBorders>
          <w:top w:val="single" w:sz="5" w:space="0" w:color="B7C6C0"/>
          <w:left w:val="single" w:sz="5" w:space="0" w:color="B7C6C0"/>
          <w:bottom w:val="single" w:sz="5" w:space="0" w:color="B7C6C0"/>
          <w:right w:val="single" w:sz="5" w:space="0" w:color="B7C6C0"/>
          <w:insideH w:val="single" w:sz="5" w:space="0" w:color="B7C6C0"/>
          <w:insideV w:val="single" w:sz="5" w:space="0" w:color="B7C6C0"/>
        </w:tblBorders>
        <w:tblLayout w:type="fixed"/>
        <w:tblLook w:val="04A0" w:firstRow="1" w:lastRow="0" w:firstColumn="1" w:lastColumn="0" w:noHBand="0" w:noVBand="1"/>
      </w:tblPr>
      <w:tblGrid>
        <w:gridCol w:w="5184"/>
        <w:gridCol w:w="5184"/>
      </w:tblGrid>
      <w:tr w:rsidR="00DF6D4C" w14:paraId="1B8B23BB" w14:textId="77777777">
        <w:trPr>
          <w:jc w:val="center"/>
        </w:trPr>
        <w:tc>
          <w:tcPr>
            <w:tcW w:w="5184" w:type="dxa"/>
            <w:shd w:val="clear" w:color="auto" w:fill="005A43"/>
            <w:tcMar>
              <w:top w:w="90" w:type="dxa"/>
              <w:left w:w="110" w:type="dxa"/>
              <w:bottom w:w="90" w:type="dxa"/>
              <w:right w:w="110" w:type="dxa"/>
            </w:tcMar>
          </w:tcPr>
          <w:p w14:paraId="048FA6C0" w14:textId="77777777" w:rsidR="00DF6D4C" w:rsidRDefault="003A6606">
            <w:r>
              <w:rPr>
                <w:rFonts w:eastAsia="Arial"/>
                <w:b/>
                <w:color w:val="FFFFFF"/>
                <w:sz w:val="21"/>
              </w:rPr>
              <w:t>Toolkit Area</w:t>
            </w:r>
          </w:p>
        </w:tc>
        <w:tc>
          <w:tcPr>
            <w:tcW w:w="5184" w:type="dxa"/>
            <w:shd w:val="clear" w:color="auto" w:fill="005A43"/>
            <w:tcMar>
              <w:top w:w="90" w:type="dxa"/>
              <w:left w:w="110" w:type="dxa"/>
              <w:bottom w:w="90" w:type="dxa"/>
              <w:right w:w="110" w:type="dxa"/>
            </w:tcMar>
          </w:tcPr>
          <w:p w14:paraId="15FCBA7E" w14:textId="77777777" w:rsidR="00DF6D4C" w:rsidRDefault="003A6606">
            <w:r>
              <w:rPr>
                <w:rFonts w:eastAsia="Arial"/>
                <w:b/>
                <w:color w:val="FFFFFF"/>
                <w:sz w:val="21"/>
              </w:rPr>
              <w:t>What You Will Find</w:t>
            </w:r>
          </w:p>
        </w:tc>
      </w:tr>
      <w:tr w:rsidR="00DF6D4C" w14:paraId="554C4652" w14:textId="77777777">
        <w:trPr>
          <w:jc w:val="center"/>
        </w:trPr>
        <w:tc>
          <w:tcPr>
            <w:tcW w:w="5184" w:type="dxa"/>
            <w:shd w:val="clear" w:color="auto" w:fill="EAF4F0"/>
            <w:tcMar>
              <w:top w:w="100" w:type="dxa"/>
              <w:left w:w="100" w:type="dxa"/>
              <w:bottom w:w="100" w:type="dxa"/>
              <w:right w:w="100" w:type="dxa"/>
            </w:tcMar>
          </w:tcPr>
          <w:p w14:paraId="43E67A00" w14:textId="77777777" w:rsidR="00DF6D4C" w:rsidRDefault="003A6606">
            <w:r>
              <w:rPr>
                <w:rFonts w:eastAsia="Arial"/>
                <w:b/>
                <w:color w:val="005A43"/>
                <w:sz w:val="22"/>
              </w:rPr>
              <w:t>1. Main Planning Documents</w:t>
            </w:r>
          </w:p>
        </w:tc>
        <w:tc>
          <w:tcPr>
            <w:tcW w:w="5184" w:type="dxa"/>
            <w:tcMar>
              <w:top w:w="100" w:type="dxa"/>
              <w:left w:w="100" w:type="dxa"/>
              <w:bottom w:w="100" w:type="dxa"/>
              <w:right w:w="100" w:type="dxa"/>
            </w:tcMar>
          </w:tcPr>
          <w:p w14:paraId="7BE32D42" w14:textId="77777777" w:rsidR="00DF6D4C" w:rsidRDefault="003A6606">
            <w:r>
              <w:rPr>
                <w:rFonts w:eastAsia="Arial"/>
                <w:color w:val="222222"/>
                <w:sz w:val="21"/>
              </w:rPr>
              <w:t>Maine LTC/SNF EOP Template; Emergency Preparedness Compliance Checklist; LTC/SNF HVA / Risk Assessment tools.</w:t>
            </w:r>
          </w:p>
        </w:tc>
      </w:tr>
      <w:tr w:rsidR="00DF6D4C" w14:paraId="26050021" w14:textId="77777777">
        <w:trPr>
          <w:jc w:val="center"/>
        </w:trPr>
        <w:tc>
          <w:tcPr>
            <w:tcW w:w="5184" w:type="dxa"/>
            <w:shd w:val="clear" w:color="auto" w:fill="EAF4F0"/>
            <w:tcMar>
              <w:top w:w="100" w:type="dxa"/>
              <w:left w:w="100" w:type="dxa"/>
              <w:bottom w:w="100" w:type="dxa"/>
              <w:right w:w="100" w:type="dxa"/>
            </w:tcMar>
          </w:tcPr>
          <w:p w14:paraId="6A328FAD" w14:textId="77777777" w:rsidR="00DF6D4C" w:rsidRDefault="003A6606">
            <w:r>
              <w:rPr>
                <w:rFonts w:eastAsia="Arial"/>
                <w:b/>
                <w:color w:val="005A43"/>
                <w:sz w:val="22"/>
              </w:rPr>
              <w:t>2. Crosswalks &amp; Documentation</w:t>
            </w:r>
          </w:p>
        </w:tc>
        <w:tc>
          <w:tcPr>
            <w:tcW w:w="5184" w:type="dxa"/>
            <w:tcMar>
              <w:top w:w="100" w:type="dxa"/>
              <w:left w:w="100" w:type="dxa"/>
              <w:bottom w:w="100" w:type="dxa"/>
              <w:right w:w="100" w:type="dxa"/>
            </w:tcMar>
          </w:tcPr>
          <w:p w14:paraId="30BEE286" w14:textId="77777777" w:rsidR="00DF6D4C" w:rsidRDefault="003A6606">
            <w:r>
              <w:rPr>
                <w:rFonts w:eastAsia="Arial"/>
                <w:color w:val="222222"/>
                <w:sz w:val="21"/>
              </w:rPr>
              <w:t>CMS / Appendix Z crosswalk; Maine Chapter 110 crosswalk; Policies &amp; Procedures Index; Supporting Documentation Index.</w:t>
            </w:r>
          </w:p>
        </w:tc>
      </w:tr>
      <w:tr w:rsidR="00DF6D4C" w14:paraId="532A377D" w14:textId="77777777">
        <w:trPr>
          <w:jc w:val="center"/>
        </w:trPr>
        <w:tc>
          <w:tcPr>
            <w:tcW w:w="5184" w:type="dxa"/>
            <w:shd w:val="clear" w:color="auto" w:fill="EAF4F0"/>
            <w:tcMar>
              <w:top w:w="100" w:type="dxa"/>
              <w:left w:w="100" w:type="dxa"/>
              <w:bottom w:w="100" w:type="dxa"/>
              <w:right w:w="100" w:type="dxa"/>
            </w:tcMar>
          </w:tcPr>
          <w:p w14:paraId="28E2B679" w14:textId="77777777" w:rsidR="00DF6D4C" w:rsidRDefault="003A6606">
            <w:r>
              <w:rPr>
                <w:rFonts w:eastAsia="Arial"/>
                <w:b/>
                <w:color w:val="005A43"/>
                <w:sz w:val="22"/>
              </w:rPr>
              <w:t>3. Operational Forms</w:t>
            </w:r>
          </w:p>
        </w:tc>
        <w:tc>
          <w:tcPr>
            <w:tcW w:w="5184" w:type="dxa"/>
            <w:tcMar>
              <w:top w:w="100" w:type="dxa"/>
              <w:left w:w="100" w:type="dxa"/>
              <w:bottom w:w="100" w:type="dxa"/>
              <w:right w:w="100" w:type="dxa"/>
            </w:tcMar>
          </w:tcPr>
          <w:p w14:paraId="1C7F1A8C" w14:textId="77777777" w:rsidR="00DF6D4C" w:rsidRDefault="003A6606">
            <w:r>
              <w:rPr>
                <w:rFonts w:eastAsia="Arial"/>
                <w:color w:val="222222"/>
                <w:sz w:val="21"/>
              </w:rPr>
              <w:t>Resident evacuation/relocation tracker; staff accountability form; resident transfer packet checklist; MOU/contract tracker; emergency power/critical utilities worksheet; crisis staffing worksheet.</w:t>
            </w:r>
          </w:p>
        </w:tc>
      </w:tr>
      <w:tr w:rsidR="00DF6D4C" w14:paraId="0941DBF0" w14:textId="77777777">
        <w:trPr>
          <w:jc w:val="center"/>
        </w:trPr>
        <w:tc>
          <w:tcPr>
            <w:tcW w:w="5184" w:type="dxa"/>
            <w:shd w:val="clear" w:color="auto" w:fill="EAF4F0"/>
            <w:tcMar>
              <w:top w:w="100" w:type="dxa"/>
              <w:left w:w="100" w:type="dxa"/>
              <w:bottom w:w="100" w:type="dxa"/>
              <w:right w:w="100" w:type="dxa"/>
            </w:tcMar>
          </w:tcPr>
          <w:p w14:paraId="159F8CF5" w14:textId="77777777" w:rsidR="00DF6D4C" w:rsidRDefault="003A6606">
            <w:r>
              <w:rPr>
                <w:rFonts w:eastAsia="Arial"/>
                <w:b/>
                <w:color w:val="005A43"/>
                <w:sz w:val="22"/>
              </w:rPr>
              <w:t>4. Training, Drills &amp; Improvement</w:t>
            </w:r>
          </w:p>
        </w:tc>
        <w:tc>
          <w:tcPr>
            <w:tcW w:w="5184" w:type="dxa"/>
            <w:tcMar>
              <w:top w:w="100" w:type="dxa"/>
              <w:left w:w="100" w:type="dxa"/>
              <w:bottom w:w="100" w:type="dxa"/>
              <w:right w:w="100" w:type="dxa"/>
            </w:tcMar>
          </w:tcPr>
          <w:p w14:paraId="24EF3E9D" w14:textId="77777777" w:rsidR="00DF6D4C" w:rsidRDefault="003A6606">
            <w:r>
              <w:rPr>
                <w:rFonts w:eastAsia="Arial"/>
                <w:color w:val="222222"/>
                <w:sz w:val="21"/>
              </w:rPr>
              <w:t>Maine 12-drill tracker; CMS exercise tracker; After-Action Report / Improvement Plan; corrective-action tracking.</w:t>
            </w:r>
          </w:p>
        </w:tc>
      </w:tr>
      <w:tr w:rsidR="00DF6D4C" w14:paraId="69F0005E" w14:textId="77777777">
        <w:trPr>
          <w:jc w:val="center"/>
        </w:trPr>
        <w:tc>
          <w:tcPr>
            <w:tcW w:w="5184" w:type="dxa"/>
            <w:shd w:val="clear" w:color="auto" w:fill="EAF4F0"/>
            <w:tcMar>
              <w:top w:w="100" w:type="dxa"/>
              <w:left w:w="100" w:type="dxa"/>
              <w:bottom w:w="100" w:type="dxa"/>
              <w:right w:w="100" w:type="dxa"/>
            </w:tcMar>
          </w:tcPr>
          <w:p w14:paraId="3E9F43EE" w14:textId="77777777" w:rsidR="00DF6D4C" w:rsidRDefault="003A6606">
            <w:r>
              <w:rPr>
                <w:rFonts w:eastAsia="Arial"/>
                <w:b/>
                <w:color w:val="005A43"/>
                <w:sz w:val="22"/>
              </w:rPr>
              <w:t>5. Official Regulations &amp; Resources</w:t>
            </w:r>
          </w:p>
        </w:tc>
        <w:tc>
          <w:tcPr>
            <w:tcW w:w="5184" w:type="dxa"/>
            <w:tcMar>
              <w:top w:w="100" w:type="dxa"/>
              <w:left w:w="100" w:type="dxa"/>
              <w:bottom w:w="100" w:type="dxa"/>
              <w:right w:w="100" w:type="dxa"/>
            </w:tcMar>
          </w:tcPr>
          <w:p w14:paraId="7EFDCEB5" w14:textId="77777777" w:rsidR="00DF6D4C" w:rsidRDefault="003A6606">
            <w:r>
              <w:rPr>
                <w:rFonts w:eastAsia="Arial"/>
                <w:color w:val="222222"/>
                <w:sz w:val="21"/>
              </w:rPr>
              <w:t>Current official links and source references for CMS, Maine DLC, Maine Chapter 110, fire/life-safety, Maine CDC/public health, and supporting preparedness guidance.</w:t>
            </w:r>
          </w:p>
        </w:tc>
      </w:tr>
    </w:tbl>
    <w:p w14:paraId="374B17DA" w14:textId="77777777" w:rsidR="00DF6D4C" w:rsidRDefault="00DF6D4C"/>
    <w:p w14:paraId="56DEC9C8" w14:textId="77777777" w:rsidR="00DF6D4C" w:rsidRDefault="003A6606">
      <w:pPr>
        <w:keepNext/>
        <w:pBdr>
          <w:bottom w:val="single" w:sz="14" w:space="5" w:color="E64A19"/>
        </w:pBdr>
        <w:spacing w:before="140" w:after="100"/>
      </w:pPr>
      <w:r>
        <w:rPr>
          <w:rFonts w:eastAsia="Arial"/>
          <w:b/>
          <w:color w:val="005A43"/>
          <w:sz w:val="34"/>
        </w:rPr>
        <w:t>BEFORE YOU CONSIDER THE TOOLKIT COMPLETE</w:t>
      </w:r>
    </w:p>
    <w:p w14:paraId="3BEFD15A" w14:textId="77777777" w:rsidR="00DF6D4C" w:rsidRDefault="003A6606">
      <w:pPr>
        <w:spacing w:after="20"/>
      </w:pPr>
      <w:r>
        <w:rPr>
          <w:rFonts w:eastAsia="Arial"/>
          <w:color w:val="222222"/>
          <w:sz w:val="20"/>
        </w:rPr>
        <w:t>☐</w:t>
      </w:r>
      <w:r>
        <w:rPr>
          <w:rFonts w:eastAsia="Arial"/>
          <w:color w:val="222222"/>
          <w:sz w:val="20"/>
        </w:rPr>
        <w:t xml:space="preserve">  Your facility-specific EOP has been completed, reviewed, approved, and dated.</w:t>
      </w:r>
    </w:p>
    <w:p w14:paraId="7A3F3F69" w14:textId="77777777" w:rsidR="00DF6D4C" w:rsidRDefault="003A6606">
      <w:pPr>
        <w:spacing w:after="20"/>
      </w:pPr>
      <w:r>
        <w:rPr>
          <w:rFonts w:eastAsia="Arial"/>
          <w:color w:val="222222"/>
          <w:sz w:val="20"/>
        </w:rPr>
        <w:t>☐</w:t>
      </w:r>
      <w:r>
        <w:rPr>
          <w:rFonts w:eastAsia="Arial"/>
          <w:color w:val="222222"/>
          <w:sz w:val="20"/>
        </w:rPr>
        <w:t xml:space="preserve">  Your HVA is current and the EOP addresses the facility’s priority risks and consequences.</w:t>
      </w:r>
    </w:p>
    <w:p w14:paraId="6770978D" w14:textId="77777777" w:rsidR="00DF6D4C" w:rsidRDefault="003A6606">
      <w:pPr>
        <w:spacing w:after="20"/>
      </w:pPr>
      <w:r>
        <w:rPr>
          <w:rFonts w:eastAsia="Arial"/>
          <w:color w:val="222222"/>
          <w:sz w:val="20"/>
        </w:rPr>
        <w:t>☐</w:t>
      </w:r>
      <w:r>
        <w:rPr>
          <w:rFonts w:eastAsia="Arial"/>
          <w:color w:val="222222"/>
          <w:sz w:val="20"/>
        </w:rPr>
        <w:t xml:space="preserve">  Required emergency preparedness policies/procedures are current and cross-referenced.</w:t>
      </w:r>
    </w:p>
    <w:p w14:paraId="6572F887" w14:textId="77777777" w:rsidR="00DF6D4C" w:rsidRDefault="003A6606">
      <w:pPr>
        <w:spacing w:after="20"/>
      </w:pPr>
      <w:r>
        <w:rPr>
          <w:rFonts w:eastAsia="Arial"/>
          <w:color w:val="222222"/>
          <w:sz w:val="20"/>
        </w:rPr>
        <w:t>☐</w:t>
      </w:r>
      <w:r>
        <w:rPr>
          <w:rFonts w:eastAsia="Arial"/>
          <w:color w:val="222222"/>
          <w:sz w:val="20"/>
        </w:rPr>
        <w:t xml:space="preserve">  Primary and alternate emergency contacts are current and accessible during downtime.</w:t>
      </w:r>
    </w:p>
    <w:p w14:paraId="06B53A00" w14:textId="77777777" w:rsidR="00DF6D4C" w:rsidRDefault="003A6606">
      <w:pPr>
        <w:spacing w:after="20"/>
      </w:pPr>
      <w:r>
        <w:rPr>
          <w:rFonts w:eastAsia="Arial"/>
          <w:color w:val="222222"/>
          <w:sz w:val="20"/>
        </w:rPr>
        <w:t>☐</w:t>
      </w:r>
      <w:r>
        <w:rPr>
          <w:rFonts w:eastAsia="Arial"/>
          <w:color w:val="222222"/>
          <w:sz w:val="20"/>
        </w:rPr>
        <w:t xml:space="preserve">  Receiving, transportation, vendor, staffing, and other continuity arrangements are current.</w:t>
      </w:r>
    </w:p>
    <w:p w14:paraId="717EB524" w14:textId="77777777" w:rsidR="00DF6D4C" w:rsidRDefault="003A6606">
      <w:pPr>
        <w:spacing w:after="20"/>
      </w:pPr>
      <w:r>
        <w:rPr>
          <w:rFonts w:eastAsia="Arial"/>
          <w:color w:val="222222"/>
          <w:sz w:val="20"/>
        </w:rPr>
        <w:t>☐</w:t>
      </w:r>
      <w:r>
        <w:rPr>
          <w:rFonts w:eastAsia="Arial"/>
          <w:color w:val="222222"/>
          <w:sz w:val="20"/>
        </w:rPr>
        <w:t xml:space="preserve">  Evacuation, shelter-in-place, resident tracking, staff accountability, and continuity forms are ready for use.</w:t>
      </w:r>
    </w:p>
    <w:p w14:paraId="24F80730" w14:textId="77777777" w:rsidR="00DF6D4C" w:rsidRDefault="003A6606">
      <w:pPr>
        <w:spacing w:after="20"/>
      </w:pPr>
      <w:r>
        <w:rPr>
          <w:rFonts w:eastAsia="Arial"/>
          <w:color w:val="222222"/>
          <w:sz w:val="20"/>
        </w:rPr>
        <w:t>☐</w:t>
      </w:r>
      <w:r>
        <w:rPr>
          <w:rFonts w:eastAsia="Arial"/>
          <w:color w:val="222222"/>
          <w:sz w:val="20"/>
        </w:rPr>
        <w:t xml:space="preserve">  Training, CMS exercise documentation, Maine drill records, AAR/IPs, and corrective actions are maintained.</w:t>
      </w:r>
    </w:p>
    <w:p w14:paraId="5A387F7F" w14:textId="77777777" w:rsidR="00DF6D4C" w:rsidRDefault="003A6606">
      <w:pPr>
        <w:spacing w:after="20"/>
      </w:pPr>
      <w:r>
        <w:rPr>
          <w:rFonts w:eastAsia="Arial"/>
          <w:color w:val="222222"/>
          <w:sz w:val="20"/>
        </w:rPr>
        <w:t>☐</w:t>
      </w:r>
      <w:r>
        <w:rPr>
          <w:rFonts w:eastAsia="Arial"/>
          <w:color w:val="222222"/>
          <w:sz w:val="20"/>
        </w:rPr>
        <w:t xml:space="preserve">  Emergency power, fire/life-safety, infection-prevention, and other supporting records are readily retrievable.</w:t>
      </w:r>
    </w:p>
    <w:p w14:paraId="44801AC8" w14:textId="77777777" w:rsidR="00DF6D4C" w:rsidRDefault="003A6606">
      <w:pPr>
        <w:spacing w:after="20"/>
      </w:pPr>
      <w:r>
        <w:rPr>
          <w:rFonts w:eastAsia="Arial"/>
          <w:color w:val="222222"/>
          <w:sz w:val="20"/>
        </w:rPr>
        <w:t>☐</w:t>
      </w:r>
      <w:r>
        <w:rPr>
          <w:rFonts w:eastAsia="Arial"/>
          <w:color w:val="222222"/>
          <w:sz w:val="20"/>
        </w:rPr>
        <w:t xml:space="preserve">  The facility has documented where supporting records are stored and who is responsible for maintaining them, and current Federal and Maine sources have been re-verified before final adoption or major revision.</w:t>
      </w:r>
    </w:p>
    <w:p w14:paraId="019036DD" w14:textId="77777777" w:rsidR="00DF6D4C" w:rsidRDefault="003A6606">
      <w:pPr>
        <w:keepNext/>
        <w:pBdr>
          <w:bottom w:val="single" w:sz="14" w:space="5" w:color="E64A19"/>
        </w:pBdr>
        <w:spacing w:before="140" w:after="100"/>
      </w:pPr>
      <w:r>
        <w:rPr>
          <w:rFonts w:eastAsia="Arial"/>
          <w:b/>
          <w:color w:val="005A43"/>
          <w:sz w:val="34"/>
        </w:rPr>
        <w:lastRenderedPageBreak/>
        <w:t>NEED HELP?</w:t>
      </w:r>
    </w:p>
    <w:p w14:paraId="14956559" w14:textId="77777777" w:rsidR="00DF6D4C" w:rsidRDefault="003A6606">
      <w:pPr>
        <w:spacing w:after="60" w:line="252" w:lineRule="auto"/>
      </w:pPr>
      <w:r>
        <w:rPr>
          <w:rFonts w:eastAsia="Arial"/>
          <w:color w:val="222222"/>
          <w:sz w:val="21"/>
        </w:rPr>
        <w:t>For optional preparedness support, technical assistance, training, exercises, and connection to regional partners, facilities may connect with HCC-ME. Regulatory interpretations or compliance determinations should be directed to the appropriate regulatory agency or authority having jurisdiction.</w:t>
      </w:r>
    </w:p>
    <w:sectPr w:rsidR="00DF6D4C" w:rsidSect="00034616">
      <w:headerReference w:type="default" r:id="rId9"/>
      <w:footerReference w:type="default" r:id="rId10"/>
      <w:pgSz w:w="12240" w:h="15840"/>
      <w:pgMar w:top="792"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3A82" w14:textId="77777777" w:rsidR="003A6606" w:rsidRDefault="003A6606">
      <w:pPr>
        <w:spacing w:after="0" w:line="240" w:lineRule="auto"/>
      </w:pPr>
      <w:r>
        <w:separator/>
      </w:r>
    </w:p>
  </w:endnote>
  <w:endnote w:type="continuationSeparator" w:id="0">
    <w:p w14:paraId="45C254BF" w14:textId="77777777" w:rsidR="003A6606" w:rsidRDefault="003A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6D7E" w14:textId="77777777" w:rsidR="00DF6D4C" w:rsidRDefault="003A6606">
    <w:pPr>
      <w:pStyle w:val="Footer"/>
      <w:jc w:val="center"/>
    </w:pPr>
    <w:r>
      <w:rPr>
        <w:rFonts w:eastAsia="Arial"/>
        <w:color w:val="666666"/>
        <w:sz w:val="16"/>
      </w:rPr>
      <w:t>Healthcare Coalition of Maine | www.mainehccs.org | Planning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BBDE" w14:textId="77777777" w:rsidR="003A6606" w:rsidRDefault="003A6606">
      <w:pPr>
        <w:spacing w:after="0" w:line="240" w:lineRule="auto"/>
      </w:pPr>
      <w:r>
        <w:separator/>
      </w:r>
    </w:p>
  </w:footnote>
  <w:footnote w:type="continuationSeparator" w:id="0">
    <w:p w14:paraId="07D939AC" w14:textId="77777777" w:rsidR="003A6606" w:rsidRDefault="003A6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6855" w14:textId="77777777" w:rsidR="00DF6D4C" w:rsidRDefault="003A6606">
    <w:pPr>
      <w:pStyle w:val="Header"/>
      <w:pBdr>
        <w:bottom w:val="single" w:sz="7" w:space="5" w:color="E64A19"/>
      </w:pBdr>
      <w:jc w:val="right"/>
    </w:pPr>
    <w:r>
      <w:rPr>
        <w:rFonts w:eastAsia="Arial"/>
        <w:b/>
        <w:color w:val="005A43"/>
        <w:sz w:val="17"/>
      </w:rPr>
      <w:t>HEALTHCARE COALITION OF MAINE | LTC/SNF EOP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3185729">
    <w:abstractNumId w:val="8"/>
  </w:num>
  <w:num w:numId="2" w16cid:durableId="2024362077">
    <w:abstractNumId w:val="6"/>
  </w:num>
  <w:num w:numId="3" w16cid:durableId="1176769189">
    <w:abstractNumId w:val="5"/>
  </w:num>
  <w:num w:numId="4" w16cid:durableId="1052968164">
    <w:abstractNumId w:val="4"/>
  </w:num>
  <w:num w:numId="5" w16cid:durableId="1694961854">
    <w:abstractNumId w:val="7"/>
  </w:num>
  <w:num w:numId="6" w16cid:durableId="1631856881">
    <w:abstractNumId w:val="3"/>
  </w:num>
  <w:num w:numId="7" w16cid:durableId="42875595">
    <w:abstractNumId w:val="2"/>
  </w:num>
  <w:num w:numId="8" w16cid:durableId="1145464466">
    <w:abstractNumId w:val="1"/>
  </w:num>
  <w:num w:numId="9" w16cid:durableId="2033531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D3A"/>
    <w:rsid w:val="0015074B"/>
    <w:rsid w:val="002040D0"/>
    <w:rsid w:val="0029639D"/>
    <w:rsid w:val="00326F90"/>
    <w:rsid w:val="003A6606"/>
    <w:rsid w:val="006941DE"/>
    <w:rsid w:val="00AA1D8D"/>
    <w:rsid w:val="00B47730"/>
    <w:rsid w:val="00CB0664"/>
    <w:rsid w:val="00DF6D4C"/>
    <w:rsid w:val="00FB49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73145"/>
  <w14:defaultImageDpi w14:val="300"/>
  <w15:docId w15:val="{77C76A51-4174-4357-A426-D72D69C8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2026-09-04T15:37:00Z</dcterms:created>
  <dcterms:modified xsi:type="dcterms:W3CDTF">2026-09-04T15:37:00Z</dcterms:modified>
  <cp:category/>
</cp:coreProperties>
</file>